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</w:pPr>
      <w:bookmarkStart w:id="0" w:name="_GoBack"/>
      <w:bookmarkEnd w:id="0"/>
      <w:r>
        <w:rPr>
          <w:rFonts w:hint="eastAsia"/>
        </w:rPr>
        <w:t>2024年经济学院接收推免实施细则</w:t>
      </w:r>
    </w:p>
    <w:p/>
    <w:p>
      <w:pPr>
        <w:pStyle w:val="2"/>
        <w:rPr>
          <w:rFonts w:cs="Times New Roman" w:asciiTheme="minorEastAsia" w:hAnsiTheme="minorEastAsia" w:eastAsiaTheme="minorEastAsia"/>
        </w:rPr>
      </w:pPr>
      <w:r>
        <w:rPr>
          <w:rFonts w:hint="eastAsia" w:cs="Times New Roman" w:asciiTheme="minorEastAsia" w:hAnsiTheme="minorEastAsia" w:eastAsiaTheme="minorEastAsia"/>
        </w:rPr>
        <w:t>一、招收类别及计划</w:t>
      </w:r>
    </w:p>
    <w:p>
      <w:pPr>
        <w:widowControl/>
        <w:spacing w:line="500" w:lineRule="atLeast"/>
        <w:ind w:right="75" w:firstLine="560" w:firstLineChars="200"/>
        <w:rPr>
          <w:rFonts w:ascii="Arial" w:hAnsi="Arial" w:cs="Arial"/>
          <w:kern w:val="0"/>
          <w:sz w:val="28"/>
          <w:szCs w:val="28"/>
        </w:rPr>
      </w:pPr>
      <w:r>
        <w:rPr>
          <w:rFonts w:hint="eastAsia" w:ascii="Arial" w:hAnsi="Arial" w:cs="Arial"/>
          <w:kern w:val="0"/>
          <w:sz w:val="28"/>
          <w:szCs w:val="28"/>
        </w:rPr>
        <w:t>我院2024接收推免生计划如下。推免硕士生学制、学费与普通招考生相同。</w:t>
      </w:r>
    </w:p>
    <w:p>
      <w:pPr>
        <w:widowControl/>
        <w:spacing w:line="500" w:lineRule="atLeast"/>
        <w:ind w:left="75" w:right="75" w:firstLine="560"/>
        <w:jc w:val="center"/>
        <w:rPr>
          <w:rFonts w:ascii="宋体" w:cs="Arial"/>
          <w:b/>
          <w:kern w:val="0"/>
          <w:sz w:val="28"/>
        </w:rPr>
      </w:pPr>
      <w:r>
        <w:rPr>
          <w:rFonts w:hint="eastAsia" w:ascii="宋体" w:hAnsi="宋体" w:cs="Arial"/>
          <w:b/>
          <w:kern w:val="0"/>
          <w:sz w:val="28"/>
        </w:rPr>
        <w:t>2024年经济学院推免生接收计划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18"/>
        <w:gridCol w:w="1458"/>
        <w:gridCol w:w="1244"/>
        <w:gridCol w:w="22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cs="Times New Roman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14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cs="Times New Roman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学习方式</w:t>
            </w:r>
          </w:p>
        </w:tc>
        <w:tc>
          <w:tcPr>
            <w:tcW w:w="12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cs="Times New Roman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拟招生人数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cs="Times New Roman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其中拟接收推免生人数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</w:tcPr>
          <w:p>
            <w:r>
              <w:rPr>
                <w:rFonts w:hint="eastAsia"/>
              </w:rPr>
              <w:t>020101政治经济学</w:t>
            </w:r>
          </w:p>
        </w:tc>
        <w:tc>
          <w:tcPr>
            <w:tcW w:w="1458" w:type="dxa"/>
          </w:tcPr>
          <w:p>
            <w:pPr>
              <w:widowControl/>
              <w:jc w:val="left"/>
              <w:textAlignment w:val="center"/>
              <w:rPr>
                <w:rFonts w:cs="Times New Roman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4"/>
                <w:szCs w:val="24"/>
              </w:rPr>
              <w:t>(1)全日制</w:t>
            </w:r>
          </w:p>
        </w:tc>
        <w:tc>
          <w:tcPr>
            <w:tcW w:w="1244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>
            <w:pPr>
              <w:jc w:val="center"/>
            </w:pPr>
            <w: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</w:tcPr>
          <w:p>
            <w:r>
              <w:rPr>
                <w:rFonts w:hint="eastAsia"/>
              </w:rPr>
              <w:t>020105世界经济</w:t>
            </w:r>
          </w:p>
        </w:tc>
        <w:tc>
          <w:tcPr>
            <w:tcW w:w="1458" w:type="dxa"/>
          </w:tcPr>
          <w:p>
            <w:pPr>
              <w:widowControl/>
              <w:jc w:val="left"/>
              <w:textAlignment w:val="center"/>
              <w:rPr>
                <w:rFonts w:cs="Times New Roman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4"/>
                <w:szCs w:val="24"/>
              </w:rPr>
              <w:t>(1)全日制</w:t>
            </w:r>
          </w:p>
        </w:tc>
        <w:tc>
          <w:tcPr>
            <w:tcW w:w="1244" w:type="dxa"/>
          </w:tcPr>
          <w:p>
            <w:pPr>
              <w:jc w:val="center"/>
            </w:pPr>
            <w:r>
              <w:t>5</w:t>
            </w:r>
          </w:p>
        </w:tc>
        <w:tc>
          <w:tcPr>
            <w:tcW w:w="0" w:type="auto"/>
          </w:tcPr>
          <w:p>
            <w:pPr>
              <w:jc w:val="center"/>
            </w:pPr>
            <w: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</w:tcPr>
          <w:p>
            <w:r>
              <w:rPr>
                <w:rFonts w:hint="eastAsia"/>
              </w:rPr>
              <w:t>020103经济史</w:t>
            </w:r>
          </w:p>
        </w:tc>
        <w:tc>
          <w:tcPr>
            <w:tcW w:w="1458" w:type="dxa"/>
          </w:tcPr>
          <w:p>
            <w:pPr>
              <w:widowControl/>
              <w:jc w:val="left"/>
              <w:textAlignment w:val="center"/>
              <w:rPr>
                <w:rFonts w:cs="Times New Roman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4"/>
                <w:szCs w:val="24"/>
              </w:rPr>
              <w:t>(1)全日制</w:t>
            </w:r>
          </w:p>
        </w:tc>
        <w:tc>
          <w:tcPr>
            <w:tcW w:w="1244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>
            <w:pPr>
              <w:jc w:val="center"/>
            </w:pPr>
            <w: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</w:tcPr>
          <w:p>
            <w:r>
              <w:rPr>
                <w:rFonts w:hint="eastAsia"/>
              </w:rPr>
              <w:t>020104西方经济学</w:t>
            </w:r>
          </w:p>
        </w:tc>
        <w:tc>
          <w:tcPr>
            <w:tcW w:w="1458" w:type="dxa"/>
          </w:tcPr>
          <w:p>
            <w:pPr>
              <w:widowControl/>
              <w:jc w:val="left"/>
              <w:textAlignment w:val="center"/>
              <w:rPr>
                <w:rFonts w:cs="Times New Roman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4"/>
                <w:szCs w:val="24"/>
              </w:rPr>
              <w:t>(1)全日制</w:t>
            </w:r>
          </w:p>
        </w:tc>
        <w:tc>
          <w:tcPr>
            <w:tcW w:w="1244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>
            <w:pPr>
              <w:jc w:val="center"/>
            </w:pPr>
            <w: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</w:tcPr>
          <w:p>
            <w:r>
              <w:rPr>
                <w:rFonts w:hint="eastAsia"/>
              </w:rPr>
              <w:t>020106人口、资源与环境经济学</w:t>
            </w:r>
          </w:p>
        </w:tc>
        <w:tc>
          <w:tcPr>
            <w:tcW w:w="1458" w:type="dxa"/>
          </w:tcPr>
          <w:p>
            <w:pPr>
              <w:widowControl/>
              <w:jc w:val="left"/>
              <w:textAlignment w:val="center"/>
              <w:rPr>
                <w:rFonts w:cs="Times New Roman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4"/>
                <w:szCs w:val="24"/>
              </w:rPr>
              <w:t>(1)全日制</w:t>
            </w:r>
          </w:p>
        </w:tc>
        <w:tc>
          <w:tcPr>
            <w:tcW w:w="1244" w:type="dxa"/>
          </w:tcPr>
          <w:p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>
            <w:pPr>
              <w:jc w:val="center"/>
            </w:pPr>
            <w: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</w:tcPr>
          <w:p>
            <w:r>
              <w:rPr>
                <w:rFonts w:hint="eastAsia"/>
              </w:rPr>
              <w:t>020201国民经济学</w:t>
            </w:r>
          </w:p>
        </w:tc>
        <w:tc>
          <w:tcPr>
            <w:tcW w:w="1458" w:type="dxa"/>
          </w:tcPr>
          <w:p>
            <w:pPr>
              <w:widowControl/>
              <w:jc w:val="left"/>
              <w:textAlignment w:val="center"/>
              <w:rPr>
                <w:rFonts w:cs="Times New Roman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4"/>
                <w:szCs w:val="24"/>
              </w:rPr>
              <w:t>(1)全日制</w:t>
            </w:r>
          </w:p>
        </w:tc>
        <w:tc>
          <w:tcPr>
            <w:tcW w:w="1244" w:type="dxa"/>
          </w:tcPr>
          <w:p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>
            <w:pPr>
              <w:jc w:val="center"/>
            </w:pPr>
            <w: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</w:tcPr>
          <w:p>
            <w:r>
              <w:rPr>
                <w:rFonts w:hint="eastAsia"/>
              </w:rPr>
              <w:t>020202区域经济学</w:t>
            </w:r>
          </w:p>
        </w:tc>
        <w:tc>
          <w:tcPr>
            <w:tcW w:w="1458" w:type="dxa"/>
          </w:tcPr>
          <w:p>
            <w:pPr>
              <w:widowControl/>
              <w:jc w:val="left"/>
              <w:textAlignment w:val="center"/>
              <w:rPr>
                <w:rFonts w:cs="Times New Roman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4"/>
                <w:szCs w:val="24"/>
              </w:rPr>
              <w:t>(1)全日制</w:t>
            </w:r>
          </w:p>
        </w:tc>
        <w:tc>
          <w:tcPr>
            <w:tcW w:w="1244" w:type="dxa"/>
          </w:tcPr>
          <w:p>
            <w:pPr>
              <w:jc w:val="center"/>
            </w:pPr>
            <w:r>
              <w:t>13</w:t>
            </w:r>
          </w:p>
        </w:tc>
        <w:tc>
          <w:tcPr>
            <w:tcW w:w="0" w:type="auto"/>
          </w:tcPr>
          <w:p>
            <w:pPr>
              <w:jc w:val="center"/>
            </w:pPr>
            <w: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</w:tcPr>
          <w:p>
            <w:r>
              <w:rPr>
                <w:rFonts w:hint="eastAsia"/>
              </w:rPr>
              <w:t>020204金融学</w:t>
            </w:r>
          </w:p>
        </w:tc>
        <w:tc>
          <w:tcPr>
            <w:tcW w:w="1458" w:type="dxa"/>
          </w:tcPr>
          <w:p>
            <w:pPr>
              <w:widowControl/>
              <w:jc w:val="left"/>
              <w:textAlignment w:val="center"/>
              <w:rPr>
                <w:rFonts w:cs="Times New Roman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4"/>
                <w:szCs w:val="24"/>
              </w:rPr>
              <w:t>(1)全日制</w:t>
            </w:r>
          </w:p>
        </w:tc>
        <w:tc>
          <w:tcPr>
            <w:tcW w:w="1244" w:type="dxa"/>
          </w:tcPr>
          <w:p>
            <w:pPr>
              <w:jc w:val="center"/>
            </w:pPr>
            <w:r>
              <w:t>13</w:t>
            </w:r>
          </w:p>
        </w:tc>
        <w:tc>
          <w:tcPr>
            <w:tcW w:w="0" w:type="auto"/>
          </w:tcPr>
          <w:p>
            <w:pPr>
              <w:jc w:val="center"/>
            </w:pPr>
            <w: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</w:tcPr>
          <w:p>
            <w:r>
              <w:rPr>
                <w:rFonts w:hint="eastAsia"/>
              </w:rPr>
              <w:t>020206国际贸易学</w:t>
            </w:r>
          </w:p>
        </w:tc>
        <w:tc>
          <w:tcPr>
            <w:tcW w:w="1458" w:type="dxa"/>
          </w:tcPr>
          <w:p>
            <w:pPr>
              <w:widowControl/>
              <w:jc w:val="left"/>
              <w:textAlignment w:val="center"/>
              <w:rPr>
                <w:rFonts w:cs="Times New Roman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4"/>
                <w:szCs w:val="24"/>
              </w:rPr>
              <w:t>(1)全日制</w:t>
            </w:r>
          </w:p>
        </w:tc>
        <w:tc>
          <w:tcPr>
            <w:tcW w:w="1244" w:type="dxa"/>
          </w:tcPr>
          <w:p>
            <w:pPr>
              <w:jc w:val="center"/>
            </w:pPr>
            <w:r>
              <w:t>10</w:t>
            </w:r>
          </w:p>
        </w:tc>
        <w:tc>
          <w:tcPr>
            <w:tcW w:w="0" w:type="auto"/>
          </w:tcPr>
          <w:p>
            <w:pPr>
              <w:jc w:val="center"/>
            </w:pPr>
            <w: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</w:tcPr>
          <w:p>
            <w:r>
              <w:rPr>
                <w:rFonts w:hint="eastAsia"/>
              </w:rPr>
              <w:t>020207劳动经济学</w:t>
            </w:r>
          </w:p>
        </w:tc>
        <w:tc>
          <w:tcPr>
            <w:tcW w:w="1458" w:type="dxa"/>
          </w:tcPr>
          <w:p>
            <w:pPr>
              <w:widowControl/>
              <w:jc w:val="left"/>
              <w:textAlignment w:val="center"/>
              <w:rPr>
                <w:rFonts w:cs="Times New Roman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4"/>
                <w:szCs w:val="24"/>
              </w:rPr>
              <w:t>(1)全日制</w:t>
            </w:r>
          </w:p>
        </w:tc>
        <w:tc>
          <w:tcPr>
            <w:tcW w:w="1244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>
            <w:pPr>
              <w:jc w:val="center"/>
            </w:pPr>
            <w: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</w:tcPr>
          <w:p>
            <w:r>
              <w:rPr>
                <w:rFonts w:hint="eastAsia"/>
              </w:rPr>
              <w:t>020209数量经济学</w:t>
            </w:r>
          </w:p>
        </w:tc>
        <w:tc>
          <w:tcPr>
            <w:tcW w:w="1458" w:type="dxa"/>
          </w:tcPr>
          <w:p>
            <w:pPr>
              <w:widowControl/>
              <w:jc w:val="left"/>
              <w:textAlignment w:val="center"/>
              <w:rPr>
                <w:rFonts w:cs="Times New Roman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4"/>
                <w:szCs w:val="24"/>
              </w:rPr>
              <w:t>(1)全日制</w:t>
            </w:r>
          </w:p>
        </w:tc>
        <w:tc>
          <w:tcPr>
            <w:tcW w:w="1244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>
            <w:pPr>
              <w:jc w:val="center"/>
            </w:pPr>
            <w: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</w:tcPr>
          <w:p>
            <w:r>
              <w:rPr>
                <w:rFonts w:hint="eastAsia"/>
              </w:rPr>
              <w:t>025100金融</w:t>
            </w:r>
          </w:p>
        </w:tc>
        <w:tc>
          <w:tcPr>
            <w:tcW w:w="1458" w:type="dxa"/>
          </w:tcPr>
          <w:p>
            <w:pPr>
              <w:widowControl/>
              <w:jc w:val="left"/>
              <w:textAlignment w:val="center"/>
              <w:rPr>
                <w:rFonts w:cs="Times New Roman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4"/>
                <w:szCs w:val="24"/>
              </w:rPr>
              <w:t>(1)全日制</w:t>
            </w:r>
          </w:p>
        </w:tc>
        <w:tc>
          <w:tcPr>
            <w:tcW w:w="1244" w:type="dxa"/>
          </w:tcPr>
          <w:p>
            <w:pPr>
              <w:jc w:val="center"/>
            </w:pPr>
            <w:r>
              <w:t>47</w:t>
            </w:r>
          </w:p>
        </w:tc>
        <w:tc>
          <w:tcPr>
            <w:tcW w:w="0" w:type="auto"/>
          </w:tcPr>
          <w:p>
            <w:pPr>
              <w:jc w:val="center"/>
            </w:pPr>
            <w: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</w:tcPr>
          <w:p>
            <w:r>
              <w:rPr>
                <w:rFonts w:hint="eastAsia"/>
              </w:rPr>
              <w:t>025200应用统计</w:t>
            </w:r>
          </w:p>
        </w:tc>
        <w:tc>
          <w:tcPr>
            <w:tcW w:w="1458" w:type="dxa"/>
          </w:tcPr>
          <w:p>
            <w:pPr>
              <w:widowControl/>
              <w:jc w:val="left"/>
              <w:textAlignment w:val="center"/>
              <w:rPr>
                <w:rFonts w:cs="Times New Roman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4"/>
                <w:szCs w:val="24"/>
              </w:rPr>
              <w:t>(1)全日制</w:t>
            </w:r>
          </w:p>
        </w:tc>
        <w:tc>
          <w:tcPr>
            <w:tcW w:w="1244" w:type="dxa"/>
          </w:tcPr>
          <w:p>
            <w:pPr>
              <w:jc w:val="center"/>
            </w:pPr>
            <w:r>
              <w:t>33</w:t>
            </w:r>
          </w:p>
        </w:tc>
        <w:tc>
          <w:tcPr>
            <w:tcW w:w="0" w:type="auto"/>
          </w:tcPr>
          <w:p>
            <w:pPr>
              <w:jc w:val="center"/>
            </w:pPr>
            <w: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</w:tcPr>
          <w:p>
            <w:r>
              <w:rPr>
                <w:rFonts w:hint="eastAsia"/>
              </w:rPr>
              <w:t>025400国际商务</w:t>
            </w:r>
          </w:p>
        </w:tc>
        <w:tc>
          <w:tcPr>
            <w:tcW w:w="1458" w:type="dxa"/>
          </w:tcPr>
          <w:p>
            <w:pPr>
              <w:widowControl/>
              <w:jc w:val="left"/>
              <w:textAlignment w:val="center"/>
              <w:rPr>
                <w:rFonts w:cs="Times New Roman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4"/>
                <w:szCs w:val="24"/>
              </w:rPr>
              <w:t>(1)全日制</w:t>
            </w:r>
          </w:p>
        </w:tc>
        <w:tc>
          <w:tcPr>
            <w:tcW w:w="1244" w:type="dxa"/>
          </w:tcPr>
          <w:p>
            <w:pPr>
              <w:jc w:val="center"/>
            </w:pPr>
            <w:r>
              <w:t>18</w:t>
            </w:r>
          </w:p>
        </w:tc>
        <w:tc>
          <w:tcPr>
            <w:tcW w:w="0" w:type="auto"/>
          </w:tcPr>
          <w:p>
            <w:pPr>
              <w:jc w:val="center"/>
            </w:pPr>
            <w: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</w:tcPr>
          <w:p>
            <w:r>
              <w:rPr>
                <w:rFonts w:hint="eastAsia"/>
              </w:rPr>
              <w:t>025500保险</w:t>
            </w:r>
          </w:p>
        </w:tc>
        <w:tc>
          <w:tcPr>
            <w:tcW w:w="1458" w:type="dxa"/>
          </w:tcPr>
          <w:p>
            <w:pPr>
              <w:widowControl/>
              <w:jc w:val="left"/>
              <w:textAlignment w:val="center"/>
              <w:rPr>
                <w:rFonts w:cs="Times New Roman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4"/>
                <w:szCs w:val="24"/>
              </w:rPr>
              <w:t>(1)全日制</w:t>
            </w:r>
          </w:p>
        </w:tc>
        <w:tc>
          <w:tcPr>
            <w:tcW w:w="1244" w:type="dxa"/>
          </w:tcPr>
          <w:p>
            <w:pPr>
              <w:jc w:val="center"/>
            </w:pPr>
            <w:r>
              <w:t>11</w:t>
            </w:r>
          </w:p>
        </w:tc>
        <w:tc>
          <w:tcPr>
            <w:tcW w:w="0" w:type="auto"/>
          </w:tcPr>
          <w:p>
            <w:pPr>
              <w:jc w:val="center"/>
            </w:pPr>
            <w: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</w:tcPr>
          <w:p>
            <w:r>
              <w:rPr>
                <w:rFonts w:hint="eastAsia"/>
              </w:rPr>
              <w:t>027000统计学</w:t>
            </w:r>
          </w:p>
        </w:tc>
        <w:tc>
          <w:tcPr>
            <w:tcW w:w="1458" w:type="dxa"/>
          </w:tcPr>
          <w:p>
            <w:pPr>
              <w:widowControl/>
              <w:jc w:val="left"/>
              <w:textAlignment w:val="center"/>
              <w:rPr>
                <w:rFonts w:cs="Times New Roman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4"/>
                <w:szCs w:val="24"/>
              </w:rPr>
              <w:t>(1)全日制</w:t>
            </w:r>
          </w:p>
        </w:tc>
        <w:tc>
          <w:tcPr>
            <w:tcW w:w="1244" w:type="dxa"/>
          </w:tcPr>
          <w:p>
            <w:pPr>
              <w:jc w:val="center"/>
            </w:pPr>
            <w:r>
              <w:t>10</w:t>
            </w:r>
          </w:p>
        </w:tc>
        <w:tc>
          <w:tcPr>
            <w:tcW w:w="0" w:type="auto"/>
          </w:tcPr>
          <w:p>
            <w:pPr>
              <w:jc w:val="center"/>
            </w:pPr>
            <w: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</w:tcPr>
          <w:p>
            <w:r>
              <w:rPr>
                <w:rFonts w:hint="eastAsia"/>
              </w:rPr>
              <w:t>030302人口学</w:t>
            </w:r>
          </w:p>
        </w:tc>
        <w:tc>
          <w:tcPr>
            <w:tcW w:w="1458" w:type="dxa"/>
          </w:tcPr>
          <w:p>
            <w:pPr>
              <w:widowControl/>
              <w:jc w:val="left"/>
              <w:textAlignment w:val="center"/>
              <w:rPr>
                <w:rFonts w:cs="Times New Roman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4"/>
                <w:szCs w:val="24"/>
              </w:rPr>
              <w:t>(1)全日制</w:t>
            </w:r>
          </w:p>
        </w:tc>
        <w:tc>
          <w:tcPr>
            <w:tcW w:w="1244" w:type="dxa"/>
          </w:tcPr>
          <w:p>
            <w:pPr>
              <w:jc w:val="center"/>
            </w:pPr>
            <w:r>
              <w:t>11</w:t>
            </w:r>
          </w:p>
        </w:tc>
        <w:tc>
          <w:tcPr>
            <w:tcW w:w="0" w:type="auto"/>
          </w:tcPr>
          <w:p>
            <w:pPr>
              <w:jc w:val="center"/>
            </w:pPr>
            <w: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</w:tcPr>
          <w:p>
            <w:r>
              <w:rPr>
                <w:rFonts w:hint="eastAsia"/>
              </w:rPr>
              <w:t>095138农村发展</w:t>
            </w:r>
          </w:p>
        </w:tc>
        <w:tc>
          <w:tcPr>
            <w:tcW w:w="1458" w:type="dxa"/>
          </w:tcPr>
          <w:p>
            <w:pPr>
              <w:widowControl/>
              <w:jc w:val="left"/>
              <w:textAlignment w:val="center"/>
              <w:rPr>
                <w:rFonts w:cs="Times New Roman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4"/>
                <w:szCs w:val="24"/>
              </w:rPr>
              <w:t>(1)全日制</w:t>
            </w:r>
          </w:p>
        </w:tc>
        <w:tc>
          <w:tcPr>
            <w:tcW w:w="1244" w:type="dxa"/>
          </w:tcPr>
          <w:p>
            <w:pPr>
              <w:jc w:val="center"/>
            </w:pPr>
            <w:r>
              <w:t>15</w:t>
            </w:r>
          </w:p>
        </w:tc>
        <w:tc>
          <w:tcPr>
            <w:tcW w:w="0" w:type="auto"/>
          </w:tcPr>
          <w:p>
            <w:pPr>
              <w:jc w:val="center"/>
            </w:pPr>
            <w: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1458" w:type="dxa"/>
            <w:vAlign w:val="center"/>
          </w:tcPr>
          <w:p>
            <w:pPr>
              <w:widowControl/>
              <w:jc w:val="left"/>
              <w:textAlignment w:val="center"/>
              <w:rPr>
                <w:rFonts w:cs="Times New Roman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hint="eastAsia" w:cs="Times New Roman" w:asciiTheme="minorEastAsia" w:hAnsiTheme="minor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</w:tbl>
    <w:p>
      <w:pPr>
        <w:pStyle w:val="2"/>
        <w:rPr>
          <w:rFonts w:cs="Times New Roman" w:asciiTheme="minorEastAsia" w:hAnsiTheme="minorEastAsia" w:eastAsiaTheme="minorEastAsia"/>
        </w:rPr>
      </w:pPr>
      <w:r>
        <w:rPr>
          <w:rFonts w:hint="eastAsia" w:cs="Times New Roman" w:asciiTheme="minorEastAsia" w:hAnsiTheme="minorEastAsia" w:eastAsiaTheme="minorEastAsia"/>
        </w:rPr>
        <w:t>二、招收条件</w:t>
      </w:r>
    </w:p>
    <w:p>
      <w:pPr>
        <w:widowControl/>
        <w:spacing w:line="500" w:lineRule="atLeast"/>
        <w:ind w:left="75" w:right="75" w:firstLine="560"/>
        <w:rPr>
          <w:rFonts w:ascii="Times New Roman" w:hAnsi="Times New Roman" w:cs="Times New Roman"/>
          <w:color w:val="000000" w:themeColor="text1"/>
          <w:kern w:val="0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1．拥护中国共产党的领导，具有正确的政治方向，热爱祖国，志愿为社会主义现代化建设服务，遵纪守法，品行端正，能够获得所在本科院校推免资格的应届本科毕业生。</w:t>
      </w:r>
    </w:p>
    <w:p>
      <w:pPr>
        <w:widowControl/>
        <w:spacing w:line="500" w:lineRule="atLeast"/>
        <w:ind w:left="75" w:right="75" w:firstLine="560"/>
        <w:rPr>
          <w:rFonts w:ascii="Times New Roman" w:hAnsi="Times New Roman" w:cs="Times New Roman"/>
          <w:color w:val="000000" w:themeColor="text1"/>
          <w:kern w:val="0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2．大学期间成绩优良，专业排名名列前茅，对科学研究兴趣浓厚，有较强的创新意识和科研能力。2024年9月1日前获得学士学位证书和本科毕业证书。</w:t>
      </w:r>
    </w:p>
    <w:p>
      <w:pPr>
        <w:widowControl/>
        <w:spacing w:line="500" w:lineRule="atLeast"/>
        <w:ind w:left="75" w:right="75" w:firstLine="560"/>
        <w:rPr>
          <w:rFonts w:ascii="Times New Roman" w:hAnsi="Times New Roman" w:cs="Times New Roman"/>
          <w:color w:val="000000" w:themeColor="text1"/>
          <w:kern w:val="0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3．诚实守信，学风端正，本科学习阶段无重修科目和补考记录，无任何考试作弊和剽窃他人学术成果记录，无任何违法违纪受处分记录。</w:t>
      </w:r>
    </w:p>
    <w:p>
      <w:pPr>
        <w:widowControl/>
        <w:spacing w:line="500" w:lineRule="atLeast"/>
        <w:ind w:left="75" w:right="75" w:firstLine="560"/>
        <w:rPr>
          <w:rFonts w:ascii="Times New Roman" w:hAnsi="Times New Roman" w:cs="Times New Roman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4．身体健康状况符合国家和招生单位规定的体检要求。</w:t>
      </w:r>
    </w:p>
    <w:p>
      <w:pPr>
        <w:widowControl/>
        <w:spacing w:line="500" w:lineRule="atLeast"/>
        <w:ind w:left="75" w:right="75" w:firstLine="560"/>
        <w:rPr>
          <w:rFonts w:ascii="Times New Roman" w:hAnsi="Times New Roman" w:cs="Times New Roman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5．获得推免资格的同学，可以申请直接攻读博士学位，除满足上述条件外，原则上英语水平应达到以下条件：CET6≥430分 或 IELTS≥6.0 或 TOEFL≥90。</w:t>
      </w:r>
    </w:p>
    <w:p>
      <w:pPr>
        <w:widowControl/>
        <w:spacing w:line="500" w:lineRule="atLeast"/>
        <w:ind w:left="75" w:right="75" w:firstLine="560"/>
        <w:rPr>
          <w:rFonts w:ascii="Times New Roman" w:hAnsi="Times New Roman" w:cs="Times New Roman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6.针对统招经济类、管理类、数学类、理工类专业本科学生。</w:t>
      </w:r>
    </w:p>
    <w:p>
      <w:pPr>
        <w:pStyle w:val="2"/>
        <w:rPr>
          <w:rFonts w:ascii="Times New Roman" w:hAnsi="Times New Roman" w:cs="Times New Roman" w:eastAsiaTheme="minor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 w:eastAsiaTheme="minorEastAsia"/>
          <w:color w:val="000000" w:themeColor="text1"/>
          <w14:textFill>
            <w14:solidFill>
              <w14:schemeClr w14:val="tx1"/>
            </w14:solidFill>
          </w14:textFill>
        </w:rPr>
        <w:t>三、接收程序</w:t>
      </w:r>
    </w:p>
    <w:p>
      <w:pPr>
        <w:ind w:firstLine="560" w:firstLineChars="200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（一）提交申请材料。预计能够取得本科就读院校推荐免试资格的考生，可先行向学院提交如下申请材料：</w:t>
      </w:r>
    </w:p>
    <w:p>
      <w:pPr>
        <w:ind w:firstLine="560" w:firstLineChars="200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1. 本科阶段成绩单，教务处或学院（系）加盖公章；</w:t>
      </w:r>
    </w:p>
    <w:p>
      <w:pPr>
        <w:ind w:firstLine="560" w:firstLineChars="200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2. 外语水平证明，如国家英语四、六级、IELTS、TOEFL等；</w:t>
      </w:r>
    </w:p>
    <w:p>
      <w:pPr>
        <w:ind w:firstLine="560" w:firstLineChars="200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3. 有效居民身份证和《教育部学籍在线验证报告》（学信网下载）；</w:t>
      </w:r>
    </w:p>
    <w:p>
      <w:pPr>
        <w:ind w:firstLine="560" w:firstLineChars="200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4. 各类获奖证书、体现自身学术水平和潜力的代表性学术论文、出版物或原创性工作成果等材料复印件； </w:t>
      </w:r>
    </w:p>
    <w:p>
      <w:pPr>
        <w:ind w:firstLine="560" w:firstLineChars="200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5. 申请直博生的，另须提交两封《专家推荐书》（推荐人须是副教授或相当职称以上专家，推荐书由推荐人密封并在封口处签字）</w:t>
      </w:r>
    </w:p>
    <w:p>
      <w:pPr>
        <w:ind w:firstLine="560" w:firstLineChars="200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6. 申请推免硕士研究生需提交《河北大学2024年接收优秀应届本科毕业生免试攻读硕士生申请表》；申请直博生需提交《河北大学2024年招收优秀应届本科生直接攻读博士学位研究生申请表》；</w:t>
      </w:r>
    </w:p>
    <w:p>
      <w:pPr>
        <w:ind w:firstLine="560" w:firstLineChars="200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上述证明材料制成PDF格式后，压缩成一个不大于5M的zip文件压缩包。压缩包以“申请专业—姓名”命名，</w:t>
      </w:r>
      <w:r>
        <w:rPr>
          <w:rFonts w:ascii="Times New Roman" w:hAnsi="Times New Roman" w:cs="Times New Roman"/>
          <w:b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于</w:t>
      </w:r>
      <w:r>
        <w:rPr>
          <w:rFonts w:hint="eastAsia" w:ascii="Times New Roman" w:hAnsi="Times New Roman" w:cs="Times New Roman"/>
          <w:b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10</w:t>
      </w:r>
      <w:r>
        <w:rPr>
          <w:rFonts w:ascii="Times New Roman" w:hAnsi="Times New Roman" w:cs="Times New Roman"/>
          <w:b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Times New Roman" w:hAnsi="Times New Roman" w:cs="Times New Roman"/>
          <w:b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6</w:t>
      </w:r>
      <w:r>
        <w:rPr>
          <w:rFonts w:ascii="Times New Roman" w:hAnsi="Times New Roman" w:cs="Times New Roman"/>
          <w:b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日前发送至学院邮箱</w:t>
      </w:r>
      <w:r>
        <w:rPr>
          <w:rFonts w:ascii="Times New Roman" w:hAnsi="Times New Roman" w:cs="Times New Roman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（</w:t>
      </w:r>
      <w:r>
        <w:rPr>
          <w:rFonts w:ascii="Times New Roman" w:hAnsi="Times New Roman" w:cs="Times New Roman"/>
          <w:b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jingji5073185@126.com</w:t>
      </w:r>
      <w:r>
        <w:rPr>
          <w:rFonts w:ascii="Times New Roman" w:hAnsi="Times New Roman" w:cs="Times New Roman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）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。材料中的所有信息必须真实准确，一旦发现弄虚作假者，我校将取消其申请资格。</w:t>
      </w:r>
    </w:p>
    <w:p>
      <w:pPr>
        <w:ind w:firstLine="560" w:firstLineChars="200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（二）资格审核</w:t>
      </w:r>
    </w:p>
    <w:p>
      <w:pPr>
        <w:ind w:firstLine="560" w:firstLineChars="200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学院依据考生提交的申请材料进行审查，在规定时间内确定复试名单并于本院官网发布复试通知。</w:t>
      </w:r>
    </w:p>
    <w:p>
      <w:pPr>
        <w:ind w:firstLine="560" w:firstLineChars="200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（三） 复试</w:t>
      </w:r>
    </w:p>
    <w:p>
      <w:pPr>
        <w:ind w:firstLine="562" w:firstLineChars="200"/>
        <w:rPr>
          <w:rFonts w:ascii="Times New Roman" w:hAnsi="Times New Roman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学院拟于10月8日进行复试。</w:t>
      </w:r>
    </w:p>
    <w:p>
      <w:pPr>
        <w:ind w:firstLine="560" w:firstLineChars="200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1．复试内容：包括专业知识、综合素质和能力、外语听说以及思想政治品德等考核内容。</w:t>
      </w:r>
    </w:p>
    <w:p>
      <w:pPr>
        <w:ind w:firstLine="560" w:firstLineChars="200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（1）专业素质和专业能力</w:t>
      </w:r>
    </w:p>
    <w:p>
      <w:pPr>
        <w:ind w:firstLine="560" w:firstLineChars="200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①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大学阶段学习情况及成绩；</w:t>
      </w:r>
    </w:p>
    <w:p>
      <w:pPr>
        <w:ind w:firstLine="560" w:firstLineChars="200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②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本专业理论知识和实验技能掌握程度，利用所学知识理论发现、分析和解决专业问题的能力，对本专业发展动态的了解情况以及在本专业领域发展的潜力；</w:t>
      </w:r>
    </w:p>
    <w:p>
      <w:pPr>
        <w:ind w:firstLine="560" w:firstLineChars="200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③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外语听说能力；</w:t>
      </w:r>
    </w:p>
    <w:p>
      <w:pPr>
        <w:ind w:firstLine="560" w:firstLineChars="200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④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创新精神和创新能力。</w:t>
      </w:r>
    </w:p>
    <w:p>
      <w:pPr>
        <w:ind w:firstLine="560" w:firstLineChars="200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（2）综合素质考核</w:t>
      </w:r>
    </w:p>
    <w:p>
      <w:pPr>
        <w:ind w:firstLine="560" w:firstLineChars="200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①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考生思想政治素质和道德品质考核。全面考核考生的政治态度、思想表现、道德品质等。着重了解考生对一些重大政治事件的看法和认识，并对考生的专业思想和治学态度进行必要的考察；</w:t>
      </w:r>
    </w:p>
    <w:p>
      <w:pPr>
        <w:ind w:firstLine="560" w:firstLineChars="200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②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本学科（专业）以外的学习、科研和社会实践（包括社团活动）或实际工作等方面的经历；</w:t>
      </w:r>
    </w:p>
    <w:p>
      <w:pPr>
        <w:ind w:firstLine="560" w:firstLineChars="200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③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事业心、责任感、纪律性（遵纪守法）、合作能力等；</w:t>
      </w:r>
    </w:p>
    <w:p>
      <w:pPr>
        <w:ind w:firstLine="560" w:firstLineChars="200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④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人文素养；</w:t>
      </w:r>
    </w:p>
    <w:p>
      <w:pPr>
        <w:ind w:firstLine="560" w:firstLineChars="200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⑤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举止、礼仪和表达能力等；</w:t>
      </w:r>
    </w:p>
    <w:p>
      <w:pPr>
        <w:ind w:firstLine="560" w:firstLineChars="200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⑥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心理健康情况。</w:t>
      </w:r>
    </w:p>
    <w:p>
      <w:pPr>
        <w:ind w:firstLine="560" w:firstLineChars="200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2．复试形式：</w:t>
      </w:r>
    </w:p>
    <w:p>
      <w:pPr>
        <w:ind w:firstLine="560" w:firstLineChars="200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专业综合面试（含外语听力和口语水平测试），满分为100分。</w:t>
      </w:r>
    </w:p>
    <w:p>
      <w:pPr>
        <w:ind w:firstLine="560" w:firstLineChars="200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专业综合面试主要对考生的知识结构和综合能力进行测试。外语听力和口语水平测试须由精通外语的教师担任。</w:t>
      </w:r>
    </w:p>
    <w:p>
      <w:pPr>
        <w:ind w:firstLine="560" w:firstLineChars="200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面试成绩评定期间，复试小组成员不得在现场讨论，应独立评分，填写评分表格，由记分员现场统计并封存。</w:t>
      </w:r>
    </w:p>
    <w:p>
      <w:pPr>
        <w:ind w:firstLine="560" w:firstLineChars="200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根据教育部要求，专业综合面试要进行全程录音、录像，录音、录像资料由各招生单位保存至学生毕业。</w:t>
      </w:r>
    </w:p>
    <w:p>
      <w:pPr>
        <w:ind w:firstLine="560" w:firstLineChars="200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3.总成绩计算及拟录取名单确定</w:t>
      </w:r>
    </w:p>
    <w:p>
      <w:pPr>
        <w:widowControl/>
        <w:spacing w:line="250" w:lineRule="atLeast"/>
        <w:ind w:firstLine="560" w:firstLineChars="200"/>
        <w:jc w:val="left"/>
        <w:rPr>
          <w:rFonts w:ascii="Times New Roman" w:hAnsi="Times New Roman" w:cs="Times New Roman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面试成绩满分100分，60分为及格线，面试不合格不予录取。</w:t>
      </w:r>
    </w:p>
    <w:p>
      <w:pPr>
        <w:spacing w:line="560" w:lineRule="exact"/>
        <w:ind w:firstLine="560" w:firstLineChars="200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录取规则：各专业按复试后总成绩由高到低进行录取。 </w:t>
      </w:r>
    </w:p>
    <w:p>
      <w:pPr>
        <w:spacing w:line="560" w:lineRule="exact"/>
        <w:ind w:firstLine="560" w:firstLineChars="200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出现以下情况之一者，不予录取：</w:t>
      </w:r>
    </w:p>
    <w:p>
      <w:pPr>
        <w:spacing w:line="560" w:lineRule="exact"/>
        <w:ind w:firstLine="560" w:firstLineChars="200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①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综合面试成绩低于60分；</w:t>
      </w:r>
    </w:p>
    <w:p>
      <w:pPr>
        <w:spacing w:line="560" w:lineRule="exact"/>
        <w:ind w:firstLine="560" w:firstLineChars="200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②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思想政治素质、道德品质考核结果不合格。</w:t>
      </w:r>
    </w:p>
    <w:p>
      <w:pPr>
        <w:ind w:firstLine="560" w:firstLineChars="200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（四）拟录取</w:t>
      </w:r>
    </w:p>
    <w:p>
      <w:pPr>
        <w:ind w:firstLine="560" w:firstLineChars="200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1.学院于本院官网公布进入复试考生复试成绩，并根据推免生的复试成绩、思想政治素质、学术水平等情况，提出拟录取名单，报研究生院审核。</w:t>
      </w:r>
    </w:p>
    <w:p>
      <w:pPr>
        <w:ind w:firstLine="560" w:firstLineChars="200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2. 研究生院对拟录取名单审核通过后于官网进行公示。</w:t>
      </w:r>
    </w:p>
    <w:p>
      <w:pPr>
        <w:ind w:firstLine="560" w:firstLineChars="200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3. 被确定接收的推免生（含直博生）须在中国研究生招生信息网“全国推荐免试攻读研究生信息公开暨管理服务系统”（以下简称“推免服务系统”，网址:http://yz.chsi.com.cn/tm  推荐使用火狐浏览器）“硕士推免报名系统”进行注册，录入个人信息，完成网上报名、网上缴费、确认复试通知和待录取通知等环节。未完成以上程序的推免生不再保留推免资格，原有的拟录取资格自动失效。</w:t>
      </w:r>
    </w:p>
    <w:p>
      <w:pPr>
        <w:pStyle w:val="2"/>
        <w:rPr>
          <w:rFonts w:ascii="Times New Roman" w:hAnsi="Times New Roman" w:cs="Times New Roman" w:eastAsiaTheme="minor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 w:eastAsiaTheme="minorEastAsia"/>
          <w:color w:val="000000" w:themeColor="text1"/>
          <w14:textFill>
            <w14:solidFill>
              <w14:schemeClr w14:val="tx1"/>
            </w14:solidFill>
          </w14:textFill>
        </w:rPr>
        <w:t>四、奖助政策</w:t>
      </w:r>
    </w:p>
    <w:p>
      <w:pPr>
        <w:pStyle w:val="5"/>
        <w:shd w:val="clear" w:color="auto" w:fill="FFFFFF"/>
        <w:spacing w:before="0" w:beforeAutospacing="0" w:after="0" w:afterAutospacing="0" w:line="480" w:lineRule="atLeast"/>
        <w:ind w:left="75" w:right="75" w:firstLine="555"/>
        <w:rPr>
          <w:rFonts w:ascii="Times New Roman" w:hAnsi="Times New Roman" w:cs="Times New Roman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1.接收的推免生入学即可获得我校设立的一等学业奖学金，博士研究生10000元/年；硕士研究生8000元/年。同时可享受国家助学金，额度为博士13000元/年，硕士6000元/年。</w:t>
      </w:r>
    </w:p>
    <w:p>
      <w:pPr>
        <w:pStyle w:val="5"/>
        <w:shd w:val="clear" w:color="auto" w:fill="FFFFFF"/>
        <w:spacing w:before="0" w:beforeAutospacing="0" w:after="0" w:afterAutospacing="0" w:line="480" w:lineRule="atLeast"/>
        <w:ind w:left="75" w:right="75" w:firstLine="555"/>
        <w:rPr>
          <w:rFonts w:ascii="Times New Roman" w:hAnsi="Times New Roman" w:cs="Times New Roman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2.硕士研究生国家奖学金奖励标准为获奖学生每生2万元；博士研究生国家奖学金奖励标准为获奖学生每生3万元。</w:t>
      </w:r>
    </w:p>
    <w:p>
      <w:pPr>
        <w:pStyle w:val="5"/>
        <w:shd w:val="clear" w:color="auto" w:fill="FFFFFF"/>
        <w:spacing w:before="0" w:beforeAutospacing="0" w:after="0" w:afterAutospacing="0" w:line="480" w:lineRule="atLeast"/>
        <w:ind w:left="75" w:right="75" w:firstLine="555"/>
        <w:rPr>
          <w:rFonts w:ascii="Times New Roman" w:hAnsi="Times New Roman" w:cs="Times New Roman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3.直博士生还享受导师每月发放的津贴。</w:t>
      </w:r>
    </w:p>
    <w:p>
      <w:pPr>
        <w:pStyle w:val="5"/>
        <w:shd w:val="clear" w:color="auto" w:fill="FFFFFF"/>
        <w:spacing w:before="0" w:beforeAutospacing="0" w:after="0" w:afterAutospacing="0" w:line="480" w:lineRule="atLeast"/>
        <w:ind w:left="75" w:right="75" w:firstLine="555"/>
        <w:rPr>
          <w:rFonts w:ascii="Times New Roman" w:hAnsi="Times New Roman" w:cs="Times New Roman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4.学校还设立了“研究生创新资助项目”，鼓励支持研究生努力学习，潜心科研，多出高水平成果。</w:t>
      </w:r>
    </w:p>
    <w:p>
      <w:pPr>
        <w:pStyle w:val="2"/>
        <w:rPr>
          <w:rFonts w:ascii="Times New Roman" w:hAnsi="Times New Roman" w:cs="Times New Roman" w:eastAsiaTheme="minor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 w:eastAsiaTheme="minorEastAsia"/>
          <w:color w:val="000000" w:themeColor="text1"/>
          <w14:textFill>
            <w14:solidFill>
              <w14:schemeClr w14:val="tx1"/>
            </w14:solidFill>
          </w14:textFill>
        </w:rPr>
        <w:t>五、回避原则</w:t>
      </w:r>
    </w:p>
    <w:p>
      <w:pPr>
        <w:widowControl/>
        <w:spacing w:before="62" w:beforeLines="20" w:after="62" w:afterLines="20" w:line="500" w:lineRule="exact"/>
        <w:ind w:firstLine="560" w:firstLineChars="200"/>
        <w:jc w:val="left"/>
        <w:rPr>
          <w:rFonts w:ascii="Times New Roman" w:hAnsi="Times New Roman" w:cs="Times New Roman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凡属考生直系亲属或利害关系人者，不得参与该考生所在专业的复试工作。</w:t>
      </w:r>
    </w:p>
    <w:p>
      <w:pPr>
        <w:widowControl/>
        <w:spacing w:before="62" w:beforeLines="20" w:after="62" w:afterLines="20" w:line="500" w:lineRule="exact"/>
        <w:ind w:firstLine="560" w:firstLineChars="200"/>
        <w:jc w:val="left"/>
        <w:rPr>
          <w:rFonts w:ascii="Times New Roman" w:hAnsi="Times New Roman" w:cs="Times New Roman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本细则解释权在经济学院。</w:t>
      </w:r>
    </w:p>
    <w:p>
      <w:pPr>
        <w:widowControl/>
        <w:spacing w:before="62" w:beforeLines="20" w:after="62" w:afterLines="20" w:line="500" w:lineRule="exact"/>
        <w:ind w:firstLine="560" w:firstLineChars="200"/>
        <w:jc w:val="left"/>
        <w:rPr>
          <w:rFonts w:ascii="Times New Roman" w:hAnsi="Times New Roman" w:cs="Times New Roman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widowControl/>
        <w:spacing w:before="62" w:beforeLines="20" w:after="62" w:afterLines="20" w:line="500" w:lineRule="exact"/>
        <w:ind w:firstLine="560" w:firstLineChars="200"/>
        <w:jc w:val="left"/>
        <w:rPr>
          <w:rFonts w:ascii="Times New Roman" w:hAnsi="Times New Roman" w:cs="Times New Roman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咨询电话：5073630，张老师  </w:t>
      </w:r>
    </w:p>
    <w:p>
      <w:pPr>
        <w:widowControl/>
        <w:spacing w:before="62" w:beforeLines="20" w:after="62" w:afterLines="20" w:line="500" w:lineRule="exact"/>
        <w:ind w:firstLine="560" w:firstLineChars="200"/>
        <w:jc w:val="left"/>
        <w:rPr>
          <w:rFonts w:ascii="Times New Roman" w:hAnsi="Times New Roman" w:cs="Times New Roman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举报监督电话：50736</w:t>
      </w:r>
      <w:r>
        <w:rPr>
          <w:rFonts w:hint="eastAsia" w:ascii="Times New Roman" w:hAnsi="Times New Roman" w:cs="Times New Roman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29</w:t>
      </w:r>
      <w:r>
        <w:rPr>
          <w:rFonts w:ascii="Times New Roman" w:hAnsi="Times New Roman" w:cs="Times New Roman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，李老师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3133871"/>
      <w:docPartObj>
        <w:docPartGallery w:val="autotext"/>
      </w:docPartObj>
    </w:sdtPr>
    <w:sdtContent>
      <w:p>
        <w:pPr>
          <w:pStyle w:val="3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3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BjZTkyOGE4OGQ5NGEzODhmZGMzMTEyMzIzNWRlZDcifQ=="/>
  </w:docVars>
  <w:rsids>
    <w:rsidRoot w:val="00B85A9B"/>
    <w:rsid w:val="000306B7"/>
    <w:rsid w:val="0007219F"/>
    <w:rsid w:val="00083B4A"/>
    <w:rsid w:val="000B4B68"/>
    <w:rsid w:val="00151EC9"/>
    <w:rsid w:val="001728D2"/>
    <w:rsid w:val="00180E0E"/>
    <w:rsid w:val="00194150"/>
    <w:rsid w:val="00211A39"/>
    <w:rsid w:val="00223934"/>
    <w:rsid w:val="002666B8"/>
    <w:rsid w:val="002904A8"/>
    <w:rsid w:val="002D57FA"/>
    <w:rsid w:val="00320BBF"/>
    <w:rsid w:val="003A3DEF"/>
    <w:rsid w:val="003E27BE"/>
    <w:rsid w:val="004C439D"/>
    <w:rsid w:val="00500C2F"/>
    <w:rsid w:val="00505A4E"/>
    <w:rsid w:val="006402A9"/>
    <w:rsid w:val="006A0A27"/>
    <w:rsid w:val="006A1C50"/>
    <w:rsid w:val="006E0A7A"/>
    <w:rsid w:val="00726A9B"/>
    <w:rsid w:val="007377CF"/>
    <w:rsid w:val="007740E5"/>
    <w:rsid w:val="00842957"/>
    <w:rsid w:val="008606AC"/>
    <w:rsid w:val="00866460"/>
    <w:rsid w:val="00870946"/>
    <w:rsid w:val="00884AEB"/>
    <w:rsid w:val="008B7FFE"/>
    <w:rsid w:val="00906B7E"/>
    <w:rsid w:val="0092709E"/>
    <w:rsid w:val="00950BDF"/>
    <w:rsid w:val="009A735F"/>
    <w:rsid w:val="009F205A"/>
    <w:rsid w:val="00A02FA8"/>
    <w:rsid w:val="00A919DA"/>
    <w:rsid w:val="00A94C57"/>
    <w:rsid w:val="00AC0A94"/>
    <w:rsid w:val="00AF7140"/>
    <w:rsid w:val="00B15B6A"/>
    <w:rsid w:val="00B575F8"/>
    <w:rsid w:val="00B85A9B"/>
    <w:rsid w:val="00C037CC"/>
    <w:rsid w:val="00C958CF"/>
    <w:rsid w:val="00C97BEB"/>
    <w:rsid w:val="00CE26E2"/>
    <w:rsid w:val="00D110DC"/>
    <w:rsid w:val="00D666FD"/>
    <w:rsid w:val="00D979F8"/>
    <w:rsid w:val="00DE3AA1"/>
    <w:rsid w:val="00E40084"/>
    <w:rsid w:val="00E55231"/>
    <w:rsid w:val="00E914EC"/>
    <w:rsid w:val="00F41090"/>
    <w:rsid w:val="00F60F0A"/>
    <w:rsid w:val="00F81BF0"/>
    <w:rsid w:val="00FD60DD"/>
    <w:rsid w:val="47380927"/>
    <w:rsid w:val="574D4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2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6">
    <w:name w:val="Title"/>
    <w:basedOn w:val="1"/>
    <w:next w:val="1"/>
    <w:link w:val="13"/>
    <w:qFormat/>
    <w:uiPriority w:val="0"/>
    <w:pPr>
      <w:spacing w:before="240" w:after="60"/>
      <w:jc w:val="center"/>
      <w:outlineLvl w:val="0"/>
    </w:pPr>
    <w:rPr>
      <w:rFonts w:ascii="Cambria" w:hAnsi="Cambria" w:eastAsia="宋体" w:cs="Times New Roman"/>
      <w:b/>
      <w:bCs/>
      <w:sz w:val="32"/>
      <w:szCs w:val="32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页眉 Char"/>
    <w:basedOn w:val="9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9"/>
    <w:link w:val="3"/>
    <w:qFormat/>
    <w:uiPriority w:val="99"/>
    <w:rPr>
      <w:sz w:val="18"/>
      <w:szCs w:val="18"/>
    </w:rPr>
  </w:style>
  <w:style w:type="character" w:customStyle="1" w:styleId="12">
    <w:name w:val="标题 2 Char"/>
    <w:basedOn w:val="9"/>
    <w:link w:val="2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3">
    <w:name w:val="标题 Char"/>
    <w:basedOn w:val="9"/>
    <w:link w:val="6"/>
    <w:qFormat/>
    <w:uiPriority w:val="0"/>
    <w:rPr>
      <w:rFonts w:ascii="Cambria" w:hAnsi="Cambria" w:eastAsia="宋体" w:cs="Times New Roman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404</Words>
  <Characters>2307</Characters>
  <Lines>19</Lines>
  <Paragraphs>5</Paragraphs>
  <TotalTime>10</TotalTime>
  <ScaleCrop>false</ScaleCrop>
  <LinksUpToDate>false</LinksUpToDate>
  <CharactersWithSpaces>2706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2023-09-18T02:12:00Z</dcterms:created>
  <dc:creator>朱长存</dc:creator>
  <cp:lastModifiedBy>往哪飞&amp;是个问题</cp:lastModifiedBy>
  <dcterms:modified xsi:type="dcterms:W3CDTF">2023-09-22T01:46:35Z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807869C7A054412DBE718E2B7C1E0A0C_13</vt:lpwstr>
  </property>
</Properties>
</file>